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587537" w14:textId="77777777" w:rsidR="00E43323" w:rsidRDefault="00E43323" w:rsidP="0042737D">
      <w:pPr>
        <w:spacing w:after="0" w:line="240" w:lineRule="auto"/>
        <w:jc w:val="both"/>
        <w:rPr>
          <w:rFonts w:eastAsia="Times New Roman" w:cstheme="minorHAnsi"/>
          <w:color w:val="454545"/>
          <w:sz w:val="24"/>
          <w:szCs w:val="24"/>
        </w:rPr>
      </w:pPr>
    </w:p>
    <w:p w14:paraId="70A72A38" w14:textId="77777777" w:rsidR="00CE0A2F" w:rsidRDefault="00CE0A2F" w:rsidP="00CE0A2F">
      <w:pPr>
        <w:spacing w:after="0" w:line="240" w:lineRule="auto"/>
        <w:jc w:val="center"/>
        <w:rPr>
          <w:sz w:val="24"/>
          <w:szCs w:val="24"/>
          <w:lang w:val="en-US"/>
        </w:rPr>
      </w:pPr>
      <w:r w:rsidRPr="00C32F1C">
        <w:rPr>
          <w:rFonts w:eastAsia="Times New Roman" w:cstheme="minorHAnsi"/>
          <w:noProof/>
          <w:color w:val="454545"/>
          <w:sz w:val="24"/>
          <w:szCs w:val="24"/>
        </w:rPr>
        <w:drawing>
          <wp:inline distT="0" distB="0" distL="0" distR="0" wp14:anchorId="693FCCF2" wp14:editId="4FA64E22">
            <wp:extent cx="861060" cy="510540"/>
            <wp:effectExtent l="0" t="0" r="0" b="3810"/>
            <wp:docPr id="2" name="Picture 2" descr="Logo">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a:hlinkClick r:id="rId5" tgtFrame="&quot;_blank&quot;"/>
                    </pic:cNvPr>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1060" cy="510540"/>
                    </a:xfrm>
                    <a:prstGeom prst="rect">
                      <a:avLst/>
                    </a:prstGeom>
                    <a:noFill/>
                    <a:ln>
                      <a:noFill/>
                    </a:ln>
                  </pic:spPr>
                </pic:pic>
              </a:graphicData>
            </a:graphic>
          </wp:inline>
        </w:drawing>
      </w:r>
    </w:p>
    <w:p w14:paraId="580BAAD1" w14:textId="77777777" w:rsidR="00CE0A2F" w:rsidRDefault="00CE0A2F" w:rsidP="00CE0A2F">
      <w:pPr>
        <w:spacing w:after="0" w:line="240" w:lineRule="auto"/>
        <w:jc w:val="center"/>
        <w:rPr>
          <w:sz w:val="24"/>
          <w:szCs w:val="24"/>
          <w:lang w:val="en-US"/>
        </w:rPr>
      </w:pPr>
    </w:p>
    <w:tbl>
      <w:tblPr>
        <w:tblW w:w="8910" w:type="dxa"/>
        <w:tblCellSpacing w:w="0" w:type="dxa"/>
        <w:tblCellMar>
          <w:left w:w="0" w:type="dxa"/>
          <w:right w:w="0" w:type="dxa"/>
        </w:tblCellMar>
        <w:tblLook w:val="04A0" w:firstRow="1" w:lastRow="0" w:firstColumn="1" w:lastColumn="0" w:noHBand="0" w:noVBand="1"/>
      </w:tblPr>
      <w:tblGrid>
        <w:gridCol w:w="8910"/>
      </w:tblGrid>
      <w:tr w:rsidR="00CE0A2F" w14:paraId="1D114091" w14:textId="77777777" w:rsidTr="008A5261">
        <w:trPr>
          <w:tblCellSpacing w:w="0" w:type="dxa"/>
        </w:trPr>
        <w:tc>
          <w:tcPr>
            <w:tcW w:w="8910" w:type="dxa"/>
            <w:tcMar>
              <w:top w:w="0" w:type="dxa"/>
              <w:left w:w="150" w:type="dxa"/>
              <w:bottom w:w="0" w:type="dxa"/>
              <w:right w:w="0" w:type="dxa"/>
            </w:tcMar>
            <w:hideMark/>
          </w:tcPr>
          <w:p w14:paraId="52A4F329" w14:textId="77777777" w:rsidR="00CE0A2F" w:rsidRDefault="00CE0A2F" w:rsidP="008A5261">
            <w:pPr>
              <w:spacing w:after="0" w:line="240" w:lineRule="auto"/>
              <w:ind w:left="24"/>
              <w:jc w:val="center"/>
              <w:rPr>
                <w:rFonts w:ascii="Arial" w:hAnsi="Arial" w:cs="Arial"/>
                <w:color w:val="0079AC"/>
                <w:sz w:val="20"/>
                <w:szCs w:val="20"/>
              </w:rPr>
            </w:pPr>
            <w:r w:rsidRPr="00E62648">
              <w:rPr>
                <w:rFonts w:ascii="Arial" w:hAnsi="Arial" w:cs="Arial"/>
                <w:sz w:val="20"/>
                <w:szCs w:val="20"/>
              </w:rPr>
              <w:t xml:space="preserve">Rue </w:t>
            </w:r>
            <w:proofErr w:type="spellStart"/>
            <w:r w:rsidRPr="00E62648">
              <w:rPr>
                <w:rFonts w:ascii="Arial" w:hAnsi="Arial" w:cs="Arial"/>
                <w:sz w:val="20"/>
                <w:szCs w:val="20"/>
              </w:rPr>
              <w:t>Faider</w:t>
            </w:r>
            <w:proofErr w:type="spellEnd"/>
            <w:r w:rsidRPr="00E62648">
              <w:rPr>
                <w:rFonts w:ascii="Arial" w:hAnsi="Arial" w:cs="Arial"/>
                <w:sz w:val="20"/>
                <w:szCs w:val="20"/>
              </w:rPr>
              <w:t xml:space="preserve"> 15 - 1060 Bruxelles / </w:t>
            </w:r>
            <w:proofErr w:type="spellStart"/>
            <w:r w:rsidRPr="00E62648">
              <w:rPr>
                <w:rFonts w:ascii="Arial" w:hAnsi="Arial" w:cs="Arial"/>
                <w:sz w:val="20"/>
                <w:szCs w:val="20"/>
              </w:rPr>
              <w:t>Faiderstraat</w:t>
            </w:r>
            <w:proofErr w:type="spellEnd"/>
            <w:r w:rsidRPr="00E62648">
              <w:rPr>
                <w:rFonts w:ascii="Arial" w:hAnsi="Arial" w:cs="Arial"/>
                <w:sz w:val="20"/>
                <w:szCs w:val="20"/>
              </w:rPr>
              <w:t xml:space="preserve"> 15 – 1060 Brussel</w:t>
            </w:r>
            <w:r w:rsidRPr="00E62648">
              <w:rPr>
                <w:rFonts w:ascii="Arial" w:hAnsi="Arial" w:cs="Arial"/>
                <w:sz w:val="20"/>
                <w:szCs w:val="20"/>
              </w:rPr>
              <w:br/>
            </w:r>
            <w:proofErr w:type="gramStart"/>
            <w:r w:rsidRPr="00E62648">
              <w:rPr>
                <w:rFonts w:ascii="Arial" w:hAnsi="Arial" w:cs="Arial"/>
                <w:b/>
                <w:bCs/>
                <w:sz w:val="20"/>
                <w:szCs w:val="20"/>
              </w:rPr>
              <w:t>T:</w:t>
            </w:r>
            <w:proofErr w:type="gramEnd"/>
            <w:r w:rsidRPr="00E62648">
              <w:rPr>
                <w:rFonts w:ascii="Arial" w:hAnsi="Arial" w:cs="Arial"/>
                <w:sz w:val="20"/>
                <w:szCs w:val="20"/>
              </w:rPr>
              <w:t> +32 2 883 50 50 | </w:t>
            </w:r>
            <w:r w:rsidRPr="00E62648">
              <w:rPr>
                <w:rFonts w:ascii="Arial" w:hAnsi="Arial" w:cs="Arial"/>
                <w:b/>
                <w:bCs/>
                <w:sz w:val="20"/>
                <w:szCs w:val="20"/>
              </w:rPr>
              <w:t>F:</w:t>
            </w:r>
            <w:r w:rsidRPr="00E62648">
              <w:rPr>
                <w:rFonts w:ascii="Arial" w:hAnsi="Arial" w:cs="Arial"/>
                <w:sz w:val="20"/>
                <w:szCs w:val="20"/>
              </w:rPr>
              <w:t> +32 2 883 50 51</w:t>
            </w:r>
            <w:r w:rsidRPr="00E62648">
              <w:rPr>
                <w:rFonts w:ascii="Arial" w:hAnsi="Arial" w:cs="Arial"/>
                <w:sz w:val="20"/>
                <w:szCs w:val="20"/>
              </w:rPr>
              <w:br/>
            </w:r>
            <w:proofErr w:type="spellStart"/>
            <w:r w:rsidRPr="00E62648">
              <w:rPr>
                <w:rFonts w:ascii="Arial" w:hAnsi="Arial" w:cs="Arial"/>
                <w:sz w:val="20"/>
                <w:szCs w:val="20"/>
              </w:rPr>
              <w:t>Quellinstraat</w:t>
            </w:r>
            <w:proofErr w:type="spellEnd"/>
            <w:r w:rsidRPr="00E62648">
              <w:rPr>
                <w:rFonts w:ascii="Arial" w:hAnsi="Arial" w:cs="Arial"/>
                <w:sz w:val="20"/>
                <w:szCs w:val="20"/>
              </w:rPr>
              <w:t xml:space="preserve"> 49 (3</w:t>
            </w:r>
            <w:r w:rsidRPr="00E62648">
              <w:rPr>
                <w:rFonts w:ascii="Arial" w:hAnsi="Arial" w:cs="Arial"/>
                <w:sz w:val="20"/>
                <w:szCs w:val="20"/>
                <w:vertAlign w:val="superscript"/>
              </w:rPr>
              <w:t>de</w:t>
            </w:r>
            <w:r w:rsidRPr="00E62648">
              <w:rPr>
                <w:rFonts w:ascii="Arial" w:hAnsi="Arial" w:cs="Arial"/>
                <w:sz w:val="20"/>
                <w:szCs w:val="20"/>
              </w:rPr>
              <w:t> </w:t>
            </w:r>
            <w:proofErr w:type="spellStart"/>
            <w:r w:rsidRPr="00E62648">
              <w:rPr>
                <w:rFonts w:ascii="Arial" w:hAnsi="Arial" w:cs="Arial"/>
                <w:sz w:val="20"/>
                <w:szCs w:val="20"/>
              </w:rPr>
              <w:t>verdieping</w:t>
            </w:r>
            <w:proofErr w:type="spellEnd"/>
            <w:r w:rsidRPr="00E62648">
              <w:rPr>
                <w:rFonts w:ascii="Arial" w:hAnsi="Arial" w:cs="Arial"/>
                <w:sz w:val="20"/>
                <w:szCs w:val="20"/>
              </w:rPr>
              <w:t>) – 2018 Antwerpen</w:t>
            </w:r>
            <w:r w:rsidRPr="00E62648">
              <w:rPr>
                <w:rFonts w:ascii="Arial" w:hAnsi="Arial" w:cs="Arial"/>
                <w:sz w:val="20"/>
                <w:szCs w:val="20"/>
              </w:rPr>
              <w:br/>
            </w:r>
            <w:r w:rsidRPr="00E62648">
              <w:rPr>
                <w:rFonts w:ascii="Arial" w:hAnsi="Arial" w:cs="Arial"/>
                <w:b/>
                <w:bCs/>
                <w:sz w:val="20"/>
                <w:szCs w:val="20"/>
              </w:rPr>
              <w:t>T:</w:t>
            </w:r>
            <w:r w:rsidRPr="00E62648">
              <w:rPr>
                <w:rFonts w:ascii="Arial" w:hAnsi="Arial" w:cs="Arial"/>
                <w:sz w:val="20"/>
                <w:szCs w:val="20"/>
              </w:rPr>
              <w:t> +32 3 205 93 41 | </w:t>
            </w:r>
            <w:r w:rsidRPr="00E62648">
              <w:rPr>
                <w:rFonts w:ascii="Arial" w:hAnsi="Arial" w:cs="Arial"/>
                <w:b/>
                <w:bCs/>
                <w:sz w:val="20"/>
                <w:szCs w:val="20"/>
              </w:rPr>
              <w:t>F:</w:t>
            </w:r>
            <w:r w:rsidRPr="00E62648">
              <w:rPr>
                <w:rFonts w:ascii="Arial" w:hAnsi="Arial" w:cs="Arial"/>
                <w:sz w:val="20"/>
                <w:szCs w:val="20"/>
              </w:rPr>
              <w:t> +32 2 883 50 51</w:t>
            </w:r>
          </w:p>
        </w:tc>
      </w:tr>
      <w:tr w:rsidR="00CE0A2F" w14:paraId="63298F07" w14:textId="77777777" w:rsidTr="008A5261">
        <w:trPr>
          <w:tblCellSpacing w:w="0" w:type="dxa"/>
        </w:trPr>
        <w:tc>
          <w:tcPr>
            <w:tcW w:w="8910" w:type="dxa"/>
            <w:tcMar>
              <w:top w:w="0" w:type="dxa"/>
              <w:left w:w="150" w:type="dxa"/>
              <w:bottom w:w="0" w:type="dxa"/>
              <w:right w:w="0" w:type="dxa"/>
            </w:tcMar>
            <w:hideMark/>
          </w:tcPr>
          <w:p w14:paraId="39E6B7E5" w14:textId="77777777" w:rsidR="00CE0A2F" w:rsidRDefault="00000000" w:rsidP="008A5261">
            <w:pPr>
              <w:spacing w:after="0" w:line="240" w:lineRule="auto"/>
              <w:jc w:val="center"/>
              <w:rPr>
                <w:rFonts w:ascii="Arial" w:hAnsi="Arial" w:cs="Arial"/>
                <w:color w:val="0079AC"/>
                <w:sz w:val="20"/>
                <w:szCs w:val="20"/>
              </w:rPr>
            </w:pPr>
            <w:hyperlink r:id="rId7" w:history="1">
              <w:r w:rsidR="00CE0A2F" w:rsidRPr="00E62648">
                <w:rPr>
                  <w:rStyle w:val="Lienhypertexte"/>
                  <w:rFonts w:cstheme="minorHAnsi"/>
                  <w:b/>
                  <w:bCs/>
                  <w:sz w:val="24"/>
                  <w:szCs w:val="24"/>
                </w:rPr>
                <w:t>www.c-d.law</w:t>
              </w:r>
            </w:hyperlink>
          </w:p>
        </w:tc>
      </w:tr>
    </w:tbl>
    <w:p w14:paraId="4C60DA48" w14:textId="77777777" w:rsidR="00CE0A2F" w:rsidRDefault="00CE0A2F" w:rsidP="00CE0A2F">
      <w:pPr>
        <w:spacing w:after="0" w:line="240" w:lineRule="auto"/>
        <w:jc w:val="center"/>
        <w:rPr>
          <w:sz w:val="24"/>
          <w:szCs w:val="24"/>
          <w:lang w:val="en-US"/>
        </w:rPr>
      </w:pPr>
    </w:p>
    <w:p w14:paraId="2FD59BD4" w14:textId="77777777" w:rsidR="00E43323" w:rsidRDefault="00E43323" w:rsidP="0042737D">
      <w:pPr>
        <w:spacing w:after="0" w:line="240" w:lineRule="auto"/>
        <w:jc w:val="both"/>
        <w:rPr>
          <w:rFonts w:eastAsia="Times New Roman" w:cstheme="minorHAnsi"/>
          <w:color w:val="454545"/>
          <w:sz w:val="24"/>
          <w:szCs w:val="24"/>
        </w:rPr>
      </w:pPr>
    </w:p>
    <w:p w14:paraId="454C18FB" w14:textId="2D70A10C" w:rsidR="00E43323" w:rsidRPr="0042737D" w:rsidRDefault="00E43323" w:rsidP="0042737D">
      <w:pPr>
        <w:spacing w:after="0" w:line="240" w:lineRule="auto"/>
        <w:jc w:val="both"/>
        <w:rPr>
          <w:rStyle w:val="Lienhypertexte"/>
          <w:b/>
          <w:bCs/>
          <w:sz w:val="24"/>
          <w:szCs w:val="24"/>
        </w:rPr>
      </w:pPr>
      <w:proofErr w:type="spellStart"/>
      <w:r w:rsidRPr="0042737D">
        <w:rPr>
          <w:rStyle w:val="Lienhypertexte"/>
          <w:b/>
          <w:bCs/>
          <w:sz w:val="24"/>
          <w:szCs w:val="24"/>
        </w:rPr>
        <w:t>Ons</w:t>
      </w:r>
      <w:proofErr w:type="spellEnd"/>
      <w:r w:rsidRPr="0042737D">
        <w:rPr>
          <w:rStyle w:val="Lienhypertexte"/>
          <w:b/>
          <w:bCs/>
          <w:sz w:val="24"/>
          <w:szCs w:val="24"/>
        </w:rPr>
        <w:t xml:space="preserve"> </w:t>
      </w:r>
      <w:proofErr w:type="spellStart"/>
      <w:r w:rsidRPr="0042737D">
        <w:rPr>
          <w:rStyle w:val="Lienhypertexte"/>
          <w:b/>
          <w:bCs/>
          <w:sz w:val="24"/>
          <w:szCs w:val="24"/>
        </w:rPr>
        <w:t>kantoor</w:t>
      </w:r>
      <w:proofErr w:type="spellEnd"/>
      <w:r w:rsidRPr="0042737D">
        <w:rPr>
          <w:rStyle w:val="Lienhypertexte"/>
          <w:b/>
          <w:bCs/>
          <w:sz w:val="24"/>
          <w:szCs w:val="24"/>
        </w:rPr>
        <w:t>.</w:t>
      </w:r>
    </w:p>
    <w:p w14:paraId="787B2B3D" w14:textId="77777777" w:rsidR="00E43323" w:rsidRPr="0042737D" w:rsidRDefault="00E43323" w:rsidP="0042737D">
      <w:pPr>
        <w:spacing w:after="0" w:line="240" w:lineRule="auto"/>
        <w:jc w:val="both"/>
        <w:rPr>
          <w:rStyle w:val="Lienhypertexte"/>
          <w:b/>
          <w:bCs/>
          <w:sz w:val="24"/>
          <w:szCs w:val="24"/>
        </w:rPr>
      </w:pPr>
    </w:p>
    <w:p w14:paraId="17C2EB7D" w14:textId="13672ECD" w:rsidR="00E43323" w:rsidRPr="009F2D8E" w:rsidRDefault="00E43323" w:rsidP="0042737D">
      <w:pPr>
        <w:spacing w:after="0" w:line="240" w:lineRule="auto"/>
        <w:jc w:val="both"/>
        <w:rPr>
          <w:rFonts w:eastAsia="Times New Roman" w:cstheme="minorHAnsi"/>
          <w:color w:val="454545"/>
          <w:sz w:val="24"/>
          <w:szCs w:val="24"/>
          <w:lang w:val="nl-NL"/>
        </w:rPr>
      </w:pPr>
      <w:r w:rsidRPr="009F2D8E">
        <w:rPr>
          <w:rFonts w:eastAsia="Times New Roman" w:cstheme="minorHAnsi"/>
          <w:color w:val="454545"/>
          <w:sz w:val="24"/>
          <w:szCs w:val="24"/>
          <w:lang w:val="nl-NL"/>
        </w:rPr>
        <w:t>C&amp;D LAW is een nieuw onafhankelijk advocatenkantoor, gespecialiseerd in fiscaal recht, opgericht eind 2022 op initiatief van Jonathan CHAZKAL en Mélanie DAUBE.</w:t>
      </w:r>
    </w:p>
    <w:p w14:paraId="2BD0CCFD" w14:textId="77777777" w:rsidR="00E43323" w:rsidRPr="009F2D8E" w:rsidRDefault="00E43323" w:rsidP="0042737D">
      <w:pPr>
        <w:spacing w:after="0" w:line="240" w:lineRule="auto"/>
        <w:jc w:val="both"/>
        <w:rPr>
          <w:rFonts w:eastAsia="Times New Roman" w:cstheme="minorHAnsi"/>
          <w:color w:val="454545"/>
          <w:sz w:val="24"/>
          <w:szCs w:val="24"/>
          <w:lang w:val="nl-NL"/>
        </w:rPr>
      </w:pPr>
    </w:p>
    <w:p w14:paraId="0454D0B1" w14:textId="1E2DACE9" w:rsidR="00E43323" w:rsidRPr="009F2D8E" w:rsidRDefault="00E43323" w:rsidP="0042737D">
      <w:pPr>
        <w:spacing w:after="0" w:line="240" w:lineRule="auto"/>
        <w:jc w:val="both"/>
        <w:rPr>
          <w:rFonts w:eastAsia="Times New Roman" w:cstheme="minorHAnsi"/>
          <w:color w:val="454545"/>
          <w:sz w:val="24"/>
          <w:szCs w:val="24"/>
          <w:lang w:val="nl-NL"/>
        </w:rPr>
      </w:pPr>
      <w:r w:rsidRPr="009F2D8E">
        <w:rPr>
          <w:rFonts w:eastAsia="Times New Roman" w:cstheme="minorHAnsi"/>
          <w:color w:val="454545"/>
          <w:sz w:val="24"/>
          <w:szCs w:val="24"/>
          <w:lang w:val="nl-NL"/>
        </w:rPr>
        <w:t xml:space="preserve">Jonathan CHAZKAL en Mélanie DAUBE zijn al lang vennoten en stellen hun gezamenlijke en complementaire praktijk al meer dan tien jaar ter beschikking van hun </w:t>
      </w:r>
      <w:r w:rsidR="009F2D8E" w:rsidRPr="009F2D8E">
        <w:rPr>
          <w:rFonts w:eastAsia="Times New Roman" w:cstheme="minorHAnsi"/>
          <w:color w:val="454545"/>
          <w:sz w:val="24"/>
          <w:szCs w:val="24"/>
          <w:lang w:val="nl-NL"/>
        </w:rPr>
        <w:t>cl</w:t>
      </w:r>
      <w:r w:rsidR="009F2D8E">
        <w:rPr>
          <w:rFonts w:eastAsia="Times New Roman" w:cstheme="minorHAnsi"/>
          <w:color w:val="454545"/>
          <w:sz w:val="24"/>
          <w:szCs w:val="24"/>
          <w:lang w:val="nl-NL"/>
        </w:rPr>
        <w:t>iënten</w:t>
      </w:r>
      <w:r w:rsidRPr="009F2D8E">
        <w:rPr>
          <w:rFonts w:eastAsia="Times New Roman" w:cstheme="minorHAnsi"/>
          <w:color w:val="454545"/>
          <w:sz w:val="24"/>
          <w:szCs w:val="24"/>
          <w:lang w:val="nl-NL"/>
        </w:rPr>
        <w:t>. Eind 2022 besloten ze om hun eigen associatie op te richten, omringd door hun team, en om hun cliënteel een vernieuwde, pragmatische en moderne organisatie aan te bieden, terwijl ze zoals altijd een consciëntieuze, veeleisende en professionele aanpak van de dossiers blijven bieden die ze behandelen.</w:t>
      </w:r>
    </w:p>
    <w:p w14:paraId="44D6D46B" w14:textId="77777777" w:rsidR="00E43323" w:rsidRPr="009F2D8E" w:rsidRDefault="00E43323" w:rsidP="0042737D">
      <w:pPr>
        <w:spacing w:after="0" w:line="240" w:lineRule="auto"/>
        <w:jc w:val="both"/>
        <w:rPr>
          <w:rFonts w:eastAsia="Times New Roman" w:cstheme="minorHAnsi"/>
          <w:color w:val="454545"/>
          <w:sz w:val="24"/>
          <w:szCs w:val="24"/>
          <w:lang w:val="nl-NL"/>
        </w:rPr>
      </w:pPr>
    </w:p>
    <w:p w14:paraId="009FD69B" w14:textId="10BA1A99" w:rsidR="00E43323" w:rsidRPr="00B04127" w:rsidRDefault="00E43323" w:rsidP="0042737D">
      <w:pPr>
        <w:spacing w:after="0" w:line="240" w:lineRule="auto"/>
        <w:jc w:val="both"/>
        <w:rPr>
          <w:rStyle w:val="Lienhypertexte"/>
          <w:b/>
          <w:bCs/>
          <w:sz w:val="24"/>
          <w:szCs w:val="24"/>
          <w:lang w:val="nl-BE"/>
        </w:rPr>
      </w:pPr>
      <w:r w:rsidRPr="00B04127">
        <w:rPr>
          <w:rStyle w:val="Lienhypertexte"/>
          <w:b/>
          <w:bCs/>
          <w:sz w:val="24"/>
          <w:szCs w:val="24"/>
          <w:lang w:val="nl-BE"/>
        </w:rPr>
        <w:t>Onze activiteit.</w:t>
      </w:r>
    </w:p>
    <w:p w14:paraId="0EF8A199" w14:textId="77777777" w:rsidR="00E43323" w:rsidRPr="00B04127" w:rsidRDefault="00E43323" w:rsidP="0042737D">
      <w:pPr>
        <w:spacing w:after="0" w:line="240" w:lineRule="auto"/>
        <w:jc w:val="both"/>
        <w:rPr>
          <w:rStyle w:val="Lienhypertexte"/>
          <w:b/>
          <w:bCs/>
          <w:sz w:val="24"/>
          <w:szCs w:val="24"/>
          <w:lang w:val="nl-BE"/>
        </w:rPr>
      </w:pPr>
    </w:p>
    <w:p w14:paraId="735C2147" w14:textId="60C0AF28" w:rsidR="00E43323" w:rsidRPr="009F2D8E" w:rsidRDefault="00E43323" w:rsidP="0042737D">
      <w:pPr>
        <w:spacing w:after="0" w:line="240" w:lineRule="auto"/>
        <w:jc w:val="both"/>
        <w:rPr>
          <w:rFonts w:eastAsia="Times New Roman" w:cstheme="minorHAnsi"/>
          <w:color w:val="454545"/>
          <w:sz w:val="24"/>
          <w:szCs w:val="24"/>
          <w:lang w:val="nl-NL"/>
        </w:rPr>
      </w:pPr>
      <w:r w:rsidRPr="009F2D8E">
        <w:rPr>
          <w:rFonts w:eastAsia="Times New Roman" w:cstheme="minorHAnsi"/>
          <w:color w:val="454545"/>
          <w:sz w:val="24"/>
          <w:szCs w:val="24"/>
          <w:lang w:val="nl-NL"/>
        </w:rPr>
        <w:t xml:space="preserve">Onze advocaten vertegenwoordigen en verdedigen belastingplichtigen in hun relaties met de verschillende fiscale autoriteiten, ongeacht de betrokken procedure. We zijn betrokken bij elke fiscale procedure, of het nu gaat om een contentieuze fiscale procedure of een </w:t>
      </w:r>
      <w:r w:rsidR="00781554">
        <w:rPr>
          <w:rFonts w:eastAsia="Times New Roman" w:cstheme="minorHAnsi"/>
          <w:color w:val="454545"/>
          <w:sz w:val="24"/>
          <w:szCs w:val="24"/>
          <w:lang w:val="nl-NL"/>
        </w:rPr>
        <w:t>minnelijke</w:t>
      </w:r>
      <w:r w:rsidRPr="009F2D8E">
        <w:rPr>
          <w:rFonts w:eastAsia="Times New Roman" w:cstheme="minorHAnsi"/>
          <w:color w:val="454545"/>
          <w:sz w:val="24"/>
          <w:szCs w:val="24"/>
          <w:lang w:val="nl-NL"/>
        </w:rPr>
        <w:t xml:space="preserve"> oplossing van het geschil tussen de belastingplichtige en de fiscale autoriteiten, </w:t>
      </w:r>
      <w:r w:rsidR="00781554">
        <w:rPr>
          <w:rFonts w:eastAsia="Times New Roman" w:cstheme="minorHAnsi"/>
          <w:color w:val="454545"/>
          <w:sz w:val="24"/>
          <w:szCs w:val="24"/>
          <w:lang w:val="nl-NL"/>
        </w:rPr>
        <w:t>met inbegrip van</w:t>
      </w:r>
      <w:r w:rsidRPr="009F2D8E">
        <w:rPr>
          <w:rFonts w:eastAsia="Times New Roman" w:cstheme="minorHAnsi"/>
          <w:color w:val="454545"/>
          <w:sz w:val="24"/>
          <w:szCs w:val="24"/>
          <w:lang w:val="nl-NL"/>
        </w:rPr>
        <w:t xml:space="preserve"> transacties in fiscaal strafrecht en fiscale regularisaties.</w:t>
      </w:r>
    </w:p>
    <w:p w14:paraId="30759D10" w14:textId="77777777" w:rsidR="00E43323" w:rsidRPr="009F2D8E" w:rsidRDefault="00E43323" w:rsidP="0042737D">
      <w:pPr>
        <w:spacing w:after="0" w:line="240" w:lineRule="auto"/>
        <w:jc w:val="both"/>
        <w:rPr>
          <w:rFonts w:eastAsia="Times New Roman" w:cstheme="minorHAnsi"/>
          <w:color w:val="454545"/>
          <w:sz w:val="24"/>
          <w:szCs w:val="24"/>
          <w:lang w:val="nl-NL"/>
        </w:rPr>
      </w:pPr>
    </w:p>
    <w:p w14:paraId="2B173F36" w14:textId="352B61D3" w:rsidR="00E43323" w:rsidRPr="009F2D8E" w:rsidRDefault="00E43323" w:rsidP="0042737D">
      <w:pPr>
        <w:spacing w:after="0" w:line="240" w:lineRule="auto"/>
        <w:jc w:val="both"/>
        <w:rPr>
          <w:rFonts w:eastAsia="Times New Roman" w:cstheme="minorHAnsi"/>
          <w:color w:val="454545"/>
          <w:sz w:val="24"/>
          <w:szCs w:val="24"/>
          <w:lang w:val="nl-NL"/>
        </w:rPr>
      </w:pPr>
      <w:r w:rsidRPr="009F2D8E">
        <w:rPr>
          <w:rFonts w:eastAsia="Times New Roman" w:cstheme="minorHAnsi"/>
          <w:color w:val="454545"/>
          <w:sz w:val="24"/>
          <w:szCs w:val="24"/>
          <w:lang w:val="nl-NL"/>
        </w:rPr>
        <w:t xml:space="preserve">Ons advocatenkantoor adviseert en ondersteunt ook haar cliënten in alle domeinen van het fiscaal recht en de ermee verbonden materies. We begeleiden onze cliënten bij de ontwikkeling en uitvoering van hun diverse projecten, in het kader van het beheer van hun patrimoniale of operationele vennootschap, de organisatie of herstructurering van hun vermogen, de planning van hun toekomstige </w:t>
      </w:r>
      <w:r w:rsidR="00781554">
        <w:rPr>
          <w:rFonts w:eastAsia="Times New Roman" w:cstheme="minorHAnsi"/>
          <w:color w:val="454545"/>
          <w:sz w:val="24"/>
          <w:szCs w:val="24"/>
          <w:lang w:val="nl-NL"/>
        </w:rPr>
        <w:t>successie</w:t>
      </w:r>
      <w:r w:rsidRPr="009F2D8E">
        <w:rPr>
          <w:rFonts w:eastAsia="Times New Roman" w:cstheme="minorHAnsi"/>
          <w:color w:val="454545"/>
          <w:sz w:val="24"/>
          <w:szCs w:val="24"/>
          <w:lang w:val="nl-NL"/>
        </w:rPr>
        <w:t>, of meer algemeen alle aspecten van het leven van een natuurlijke persoon of een onderneming.</w:t>
      </w:r>
    </w:p>
    <w:p w14:paraId="35E0D0A3" w14:textId="77777777" w:rsidR="00E43323" w:rsidRPr="009F2D8E" w:rsidRDefault="00E43323" w:rsidP="0042737D">
      <w:pPr>
        <w:spacing w:after="0" w:line="240" w:lineRule="auto"/>
        <w:jc w:val="both"/>
        <w:rPr>
          <w:rFonts w:eastAsia="Times New Roman" w:cstheme="minorHAnsi"/>
          <w:color w:val="454545"/>
          <w:sz w:val="24"/>
          <w:szCs w:val="24"/>
          <w:lang w:val="nl-NL"/>
        </w:rPr>
      </w:pPr>
    </w:p>
    <w:p w14:paraId="0CB0C4C6" w14:textId="77777777" w:rsidR="00E43323" w:rsidRPr="00B04127" w:rsidRDefault="00E43323" w:rsidP="0042737D">
      <w:pPr>
        <w:spacing w:after="0" w:line="240" w:lineRule="auto"/>
        <w:jc w:val="both"/>
        <w:rPr>
          <w:rStyle w:val="Lienhypertexte"/>
          <w:b/>
          <w:bCs/>
          <w:sz w:val="24"/>
          <w:szCs w:val="24"/>
          <w:lang w:val="nl-BE"/>
        </w:rPr>
      </w:pPr>
      <w:r w:rsidRPr="00B04127">
        <w:rPr>
          <w:rStyle w:val="Lienhypertexte"/>
          <w:b/>
          <w:bCs/>
          <w:sz w:val="24"/>
          <w:szCs w:val="24"/>
          <w:lang w:val="nl-BE"/>
        </w:rPr>
        <w:t>Onze bijzonderheid.</w:t>
      </w:r>
    </w:p>
    <w:p w14:paraId="7479A54F" w14:textId="77777777" w:rsidR="00E43323" w:rsidRPr="009F2D8E" w:rsidRDefault="00E43323" w:rsidP="0042737D">
      <w:pPr>
        <w:spacing w:after="0" w:line="240" w:lineRule="auto"/>
        <w:jc w:val="both"/>
        <w:rPr>
          <w:rFonts w:eastAsia="Times New Roman" w:cstheme="minorHAnsi"/>
          <w:color w:val="454545"/>
          <w:sz w:val="24"/>
          <w:szCs w:val="24"/>
          <w:lang w:val="nl-NL"/>
        </w:rPr>
      </w:pPr>
    </w:p>
    <w:p w14:paraId="79C7CF8A" w14:textId="4D16FFC6" w:rsidR="00E43323" w:rsidRPr="009F2D8E" w:rsidRDefault="00E43323" w:rsidP="0042737D">
      <w:pPr>
        <w:spacing w:after="0" w:line="240" w:lineRule="auto"/>
        <w:jc w:val="both"/>
        <w:rPr>
          <w:rFonts w:eastAsia="Times New Roman" w:cstheme="minorHAnsi"/>
          <w:color w:val="454545"/>
          <w:sz w:val="24"/>
          <w:szCs w:val="24"/>
          <w:lang w:val="nl-NL"/>
        </w:rPr>
      </w:pPr>
      <w:r w:rsidRPr="009F2D8E">
        <w:rPr>
          <w:rFonts w:eastAsia="Times New Roman" w:cstheme="minorHAnsi"/>
          <w:color w:val="454545"/>
          <w:sz w:val="24"/>
          <w:szCs w:val="24"/>
          <w:lang w:val="nl-NL"/>
        </w:rPr>
        <w:t xml:space="preserve">Ons voordeel ligt in het feit dat we kunnen rekenen op advocaten met gespecialiseerde en diepgaande kennis van het fiscaal recht, zowel </w:t>
      </w:r>
      <w:r w:rsidR="00781554">
        <w:rPr>
          <w:rFonts w:eastAsia="Times New Roman" w:cstheme="minorHAnsi"/>
          <w:color w:val="454545"/>
          <w:sz w:val="24"/>
          <w:szCs w:val="24"/>
          <w:lang w:val="nl-NL"/>
        </w:rPr>
        <w:t>in België</w:t>
      </w:r>
      <w:r w:rsidRPr="009F2D8E">
        <w:rPr>
          <w:rFonts w:eastAsia="Times New Roman" w:cstheme="minorHAnsi"/>
          <w:color w:val="454545"/>
          <w:sz w:val="24"/>
          <w:szCs w:val="24"/>
          <w:lang w:val="nl-NL"/>
        </w:rPr>
        <w:t xml:space="preserve"> als</w:t>
      </w:r>
      <w:r w:rsidR="00781554">
        <w:rPr>
          <w:rFonts w:eastAsia="Times New Roman" w:cstheme="minorHAnsi"/>
          <w:color w:val="454545"/>
          <w:sz w:val="24"/>
          <w:szCs w:val="24"/>
          <w:lang w:val="nl-NL"/>
        </w:rPr>
        <w:t xml:space="preserve"> in het</w:t>
      </w:r>
      <w:r w:rsidRPr="009F2D8E">
        <w:rPr>
          <w:rFonts w:eastAsia="Times New Roman" w:cstheme="minorHAnsi"/>
          <w:color w:val="454545"/>
          <w:sz w:val="24"/>
          <w:szCs w:val="24"/>
          <w:lang w:val="nl-NL"/>
        </w:rPr>
        <w:t xml:space="preserve"> buitenland, met een serieuze expertise die ruimschoots is bewezen door vele jaren ervaring op dit gebied. Ze zijn betrokken bij tal van academische en sociale activiteiten met betrekking tot fiscale zaken en kunnen steunen op een hoogwaardig netwerk dat is georganiseerd rond onze kantoren in het buitenland.</w:t>
      </w:r>
    </w:p>
    <w:p w14:paraId="0171ED7A" w14:textId="77777777" w:rsidR="00E43323" w:rsidRPr="009F2D8E" w:rsidRDefault="00E43323" w:rsidP="0042737D">
      <w:pPr>
        <w:spacing w:after="0" w:line="240" w:lineRule="auto"/>
        <w:jc w:val="both"/>
        <w:rPr>
          <w:rFonts w:eastAsia="Times New Roman" w:cstheme="minorHAnsi"/>
          <w:color w:val="454545"/>
          <w:sz w:val="24"/>
          <w:szCs w:val="24"/>
          <w:lang w:val="nl-NL"/>
        </w:rPr>
      </w:pPr>
    </w:p>
    <w:p w14:paraId="0AB01D0B" w14:textId="77777777" w:rsidR="00E43323" w:rsidRPr="009F2D8E" w:rsidRDefault="00E43323" w:rsidP="0042737D">
      <w:pPr>
        <w:spacing w:after="0" w:line="240" w:lineRule="auto"/>
        <w:jc w:val="both"/>
        <w:rPr>
          <w:rFonts w:eastAsia="Times New Roman" w:cstheme="minorHAnsi"/>
          <w:color w:val="454545"/>
          <w:sz w:val="24"/>
          <w:szCs w:val="24"/>
          <w:lang w:val="nl-NL"/>
        </w:rPr>
      </w:pPr>
      <w:r w:rsidRPr="009F2D8E">
        <w:rPr>
          <w:rFonts w:eastAsia="Times New Roman" w:cstheme="minorHAnsi"/>
          <w:color w:val="454545"/>
          <w:sz w:val="24"/>
          <w:szCs w:val="24"/>
          <w:lang w:val="nl-NL"/>
        </w:rPr>
        <w:lastRenderedPageBreak/>
        <w:t>Ons kantoor is gevestigd in Brussel, maar heeft ook vestigingen in Antwerpen, Luxemburg en Tel Aviv.</w:t>
      </w:r>
    </w:p>
    <w:p w14:paraId="5AD0C2F1" w14:textId="77777777" w:rsidR="00E43323" w:rsidRPr="009F2D8E" w:rsidRDefault="00E43323" w:rsidP="0042737D">
      <w:pPr>
        <w:spacing w:after="0" w:line="240" w:lineRule="auto"/>
        <w:jc w:val="both"/>
        <w:rPr>
          <w:rFonts w:eastAsia="Times New Roman" w:cstheme="minorHAnsi"/>
          <w:color w:val="454545"/>
          <w:sz w:val="24"/>
          <w:szCs w:val="24"/>
          <w:lang w:val="nl-NL"/>
        </w:rPr>
      </w:pPr>
    </w:p>
    <w:p w14:paraId="1BE50886" w14:textId="77777777" w:rsidR="00E43323" w:rsidRPr="00B04127" w:rsidRDefault="00E43323" w:rsidP="0042737D">
      <w:pPr>
        <w:spacing w:after="0" w:line="240" w:lineRule="auto"/>
        <w:jc w:val="both"/>
        <w:rPr>
          <w:rStyle w:val="Lienhypertexte"/>
          <w:b/>
          <w:bCs/>
          <w:sz w:val="24"/>
          <w:szCs w:val="24"/>
          <w:lang w:val="nl-BE"/>
        </w:rPr>
      </w:pPr>
      <w:r w:rsidRPr="00B04127">
        <w:rPr>
          <w:rStyle w:val="Lienhypertexte"/>
          <w:b/>
          <w:bCs/>
          <w:sz w:val="24"/>
          <w:szCs w:val="24"/>
          <w:lang w:val="nl-BE"/>
        </w:rPr>
        <w:t>Onze zoektocht.</w:t>
      </w:r>
    </w:p>
    <w:p w14:paraId="3C84B60A" w14:textId="77777777" w:rsidR="00E43323" w:rsidRPr="00B04127" w:rsidRDefault="00E43323" w:rsidP="0042737D">
      <w:pPr>
        <w:spacing w:after="0" w:line="240" w:lineRule="auto"/>
        <w:jc w:val="both"/>
        <w:rPr>
          <w:rStyle w:val="Lienhypertexte"/>
          <w:b/>
          <w:bCs/>
          <w:sz w:val="24"/>
          <w:szCs w:val="24"/>
          <w:lang w:val="nl-BE"/>
        </w:rPr>
      </w:pPr>
    </w:p>
    <w:p w14:paraId="2D017FAB" w14:textId="77777777" w:rsidR="00E43323" w:rsidRPr="009F2D8E" w:rsidRDefault="00E43323" w:rsidP="0042737D">
      <w:pPr>
        <w:spacing w:after="0" w:line="240" w:lineRule="auto"/>
        <w:jc w:val="both"/>
        <w:rPr>
          <w:rFonts w:eastAsia="Times New Roman" w:cstheme="minorHAnsi"/>
          <w:color w:val="454545"/>
          <w:sz w:val="24"/>
          <w:szCs w:val="24"/>
          <w:lang w:val="nl-NL"/>
        </w:rPr>
      </w:pPr>
      <w:r w:rsidRPr="009F2D8E">
        <w:rPr>
          <w:rFonts w:eastAsia="Times New Roman" w:cstheme="minorHAnsi"/>
          <w:color w:val="454545"/>
          <w:sz w:val="24"/>
          <w:szCs w:val="24"/>
          <w:lang w:val="nl-NL"/>
        </w:rPr>
        <w:t>C&amp;D LAW zoekt medewerkers (NL/FR) met een uitstekende academische achtergrond en 3 tot 5 jaar ervaring bij de Belgische balie, om ons kantoor te begeleiden bij zijn ontwikkeling. Het kunnen voorleggen van een aanvullende master in het fiscaal recht, of ervaring met de materie, wordt op prijs gesteld.</w:t>
      </w:r>
    </w:p>
    <w:p w14:paraId="2D8B874F" w14:textId="77777777" w:rsidR="00E43323" w:rsidRPr="009F2D8E" w:rsidRDefault="00E43323" w:rsidP="0042737D">
      <w:pPr>
        <w:spacing w:after="0" w:line="240" w:lineRule="auto"/>
        <w:jc w:val="both"/>
        <w:rPr>
          <w:rFonts w:eastAsia="Times New Roman" w:cstheme="minorHAnsi"/>
          <w:color w:val="454545"/>
          <w:sz w:val="24"/>
          <w:szCs w:val="24"/>
          <w:lang w:val="nl-NL"/>
        </w:rPr>
      </w:pPr>
    </w:p>
    <w:p w14:paraId="5CD2A06A" w14:textId="77777777" w:rsidR="00E43323" w:rsidRPr="009F2D8E" w:rsidRDefault="00E43323" w:rsidP="0042737D">
      <w:pPr>
        <w:spacing w:after="0" w:line="240" w:lineRule="auto"/>
        <w:jc w:val="both"/>
        <w:rPr>
          <w:rFonts w:eastAsia="Times New Roman" w:cstheme="minorHAnsi"/>
          <w:color w:val="454545"/>
          <w:sz w:val="24"/>
          <w:szCs w:val="24"/>
          <w:lang w:val="nl-NL"/>
        </w:rPr>
      </w:pPr>
      <w:r w:rsidRPr="009F2D8E">
        <w:rPr>
          <w:rFonts w:eastAsia="Times New Roman" w:cstheme="minorHAnsi"/>
          <w:color w:val="454545"/>
          <w:sz w:val="24"/>
          <w:szCs w:val="24"/>
          <w:lang w:val="nl-NL"/>
        </w:rPr>
        <w:t>We bieden de mogelijkheid om gevarieerde dossiers te behandelen voor een divers cliënteel. Onze medewerkers behandelen de hen toevertrouwde dossiers autonoom, terwijl ze kunnen profiteren van de adviezen en expertise van ons ervaren team.</w:t>
      </w:r>
    </w:p>
    <w:p w14:paraId="1760DDA0" w14:textId="77777777" w:rsidR="00E43323" w:rsidRPr="009F2D8E" w:rsidRDefault="00E43323" w:rsidP="0042737D">
      <w:pPr>
        <w:spacing w:after="0" w:line="240" w:lineRule="auto"/>
        <w:jc w:val="both"/>
        <w:rPr>
          <w:rFonts w:eastAsia="Times New Roman" w:cstheme="minorHAnsi"/>
          <w:color w:val="454545"/>
          <w:sz w:val="24"/>
          <w:szCs w:val="24"/>
          <w:lang w:val="nl-NL"/>
        </w:rPr>
      </w:pPr>
    </w:p>
    <w:p w14:paraId="7A22F1CD" w14:textId="75BAA2FA" w:rsidR="00E43323" w:rsidRPr="009F2D8E" w:rsidRDefault="00E43323" w:rsidP="0042737D">
      <w:pPr>
        <w:spacing w:after="0" w:line="240" w:lineRule="auto"/>
        <w:jc w:val="both"/>
        <w:rPr>
          <w:rFonts w:eastAsia="Times New Roman" w:cstheme="minorHAnsi"/>
          <w:color w:val="454545"/>
          <w:sz w:val="24"/>
          <w:szCs w:val="24"/>
          <w:lang w:val="nl-NL"/>
        </w:rPr>
      </w:pPr>
      <w:r w:rsidRPr="009F2D8E">
        <w:rPr>
          <w:rFonts w:eastAsia="Times New Roman" w:cstheme="minorHAnsi"/>
          <w:color w:val="454545"/>
          <w:sz w:val="24"/>
          <w:szCs w:val="24"/>
          <w:lang w:val="nl-NL"/>
        </w:rPr>
        <w:t>We bieden aantrekkelijke vergoedingen en interessante professionele ontwikkelingsperspectieven.</w:t>
      </w:r>
    </w:p>
    <w:p w14:paraId="29A34BE5" w14:textId="77777777" w:rsidR="00E43323" w:rsidRPr="009F2D8E" w:rsidRDefault="00E43323" w:rsidP="0042737D">
      <w:pPr>
        <w:spacing w:after="0" w:line="240" w:lineRule="auto"/>
        <w:jc w:val="both"/>
        <w:rPr>
          <w:rFonts w:eastAsia="Times New Roman" w:cstheme="minorHAnsi"/>
          <w:color w:val="454545"/>
          <w:sz w:val="24"/>
          <w:szCs w:val="24"/>
          <w:lang w:val="nl-NL"/>
        </w:rPr>
      </w:pPr>
    </w:p>
    <w:p w14:paraId="7DF49F25" w14:textId="704A3348" w:rsidR="00E43323" w:rsidRPr="0042737D" w:rsidRDefault="00E43323" w:rsidP="0042737D">
      <w:pPr>
        <w:spacing w:after="0" w:line="240" w:lineRule="auto"/>
        <w:jc w:val="both"/>
        <w:rPr>
          <w:rFonts w:eastAsia="Times New Roman" w:cstheme="minorHAnsi"/>
          <w:color w:val="454545"/>
          <w:sz w:val="24"/>
          <w:szCs w:val="24"/>
          <w:lang w:val="nl-NL"/>
        </w:rPr>
      </w:pPr>
      <w:proofErr w:type="gramStart"/>
      <w:r w:rsidRPr="009F2D8E">
        <w:rPr>
          <w:rFonts w:eastAsia="Times New Roman" w:cstheme="minorHAnsi"/>
          <w:color w:val="454545"/>
          <w:sz w:val="24"/>
          <w:szCs w:val="24"/>
          <w:lang w:val="nl-NL"/>
        </w:rPr>
        <w:t>Indien</w:t>
      </w:r>
      <w:proofErr w:type="gramEnd"/>
      <w:r w:rsidRPr="009F2D8E">
        <w:rPr>
          <w:rFonts w:eastAsia="Times New Roman" w:cstheme="minorHAnsi"/>
          <w:color w:val="454545"/>
          <w:sz w:val="24"/>
          <w:szCs w:val="24"/>
          <w:lang w:val="nl-NL"/>
        </w:rPr>
        <w:t xml:space="preserve"> u geïnteresseerd bent, aarzel dan niet om uw cv en sollicitatiebrief per e-mail naar </w:t>
      </w:r>
      <w:hyperlink r:id="rId8" w:history="1">
        <w:r w:rsidR="0042737D" w:rsidRPr="0042737D">
          <w:rPr>
            <w:rStyle w:val="Lienhypertexte"/>
            <w:rFonts w:eastAsia="Times New Roman" w:cstheme="minorHAnsi"/>
            <w:b/>
            <w:bCs/>
            <w:color w:val="0070C0"/>
            <w:sz w:val="24"/>
            <w:szCs w:val="24"/>
            <w:lang w:val="nl-NL"/>
          </w:rPr>
          <w:t>info@c-d.law</w:t>
        </w:r>
      </w:hyperlink>
      <w:r w:rsidR="0042737D" w:rsidRPr="0042737D">
        <w:rPr>
          <w:rFonts w:eastAsia="Times New Roman" w:cstheme="minorHAnsi"/>
          <w:color w:val="0070C0"/>
          <w:sz w:val="24"/>
          <w:szCs w:val="24"/>
          <w:lang w:val="nl-NL"/>
        </w:rPr>
        <w:t xml:space="preserve"> </w:t>
      </w:r>
      <w:r w:rsidRPr="009F2D8E">
        <w:rPr>
          <w:rFonts w:eastAsia="Times New Roman" w:cstheme="minorHAnsi"/>
          <w:color w:val="454545"/>
          <w:sz w:val="24"/>
          <w:szCs w:val="24"/>
          <w:lang w:val="nl-NL"/>
        </w:rPr>
        <w:t xml:space="preserve">te sturen. </w:t>
      </w:r>
      <w:r w:rsidRPr="0042737D">
        <w:rPr>
          <w:rFonts w:eastAsia="Times New Roman" w:cstheme="minorHAnsi"/>
          <w:color w:val="454545"/>
          <w:sz w:val="24"/>
          <w:szCs w:val="24"/>
          <w:lang w:val="nl-NL"/>
        </w:rPr>
        <w:t xml:space="preserve">De vertrouwelijkheid van uw aanvraag is </w:t>
      </w:r>
      <w:r w:rsidR="00781554" w:rsidRPr="0042737D">
        <w:rPr>
          <w:rFonts w:eastAsia="Times New Roman" w:cstheme="minorHAnsi"/>
          <w:color w:val="454545"/>
          <w:sz w:val="24"/>
          <w:szCs w:val="24"/>
          <w:lang w:val="nl-NL"/>
        </w:rPr>
        <w:t>uiteraard</w:t>
      </w:r>
      <w:r w:rsidRPr="0042737D">
        <w:rPr>
          <w:rFonts w:eastAsia="Times New Roman" w:cstheme="minorHAnsi"/>
          <w:color w:val="454545"/>
          <w:sz w:val="24"/>
          <w:szCs w:val="24"/>
          <w:lang w:val="nl-NL"/>
        </w:rPr>
        <w:t xml:space="preserve"> gegarandeerd.</w:t>
      </w:r>
    </w:p>
    <w:sectPr w:rsidR="00E43323" w:rsidRPr="0042737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57019"/>
    <w:multiLevelType w:val="multilevel"/>
    <w:tmpl w:val="75828816"/>
    <w:lvl w:ilvl="0">
      <w:start w:val="1"/>
      <w:numFmt w:val="bullet"/>
      <w:lvlText w:val=""/>
      <w:lvlJc w:val="left"/>
      <w:pPr>
        <w:tabs>
          <w:tab w:val="num" w:pos="4500"/>
        </w:tabs>
        <w:ind w:left="4500" w:hanging="360"/>
      </w:pPr>
      <w:rPr>
        <w:rFonts w:ascii="Symbol" w:hAnsi="Symbol" w:hint="default"/>
        <w:sz w:val="20"/>
      </w:rPr>
    </w:lvl>
    <w:lvl w:ilvl="1" w:tentative="1">
      <w:start w:val="1"/>
      <w:numFmt w:val="bullet"/>
      <w:lvlText w:val="o"/>
      <w:lvlJc w:val="left"/>
      <w:pPr>
        <w:tabs>
          <w:tab w:val="num" w:pos="5220"/>
        </w:tabs>
        <w:ind w:left="5220" w:hanging="360"/>
      </w:pPr>
      <w:rPr>
        <w:rFonts w:ascii="Courier New" w:hAnsi="Courier New" w:hint="default"/>
        <w:sz w:val="20"/>
      </w:rPr>
    </w:lvl>
    <w:lvl w:ilvl="2" w:tentative="1">
      <w:start w:val="1"/>
      <w:numFmt w:val="bullet"/>
      <w:lvlText w:val=""/>
      <w:lvlJc w:val="left"/>
      <w:pPr>
        <w:tabs>
          <w:tab w:val="num" w:pos="5940"/>
        </w:tabs>
        <w:ind w:left="5940" w:hanging="360"/>
      </w:pPr>
      <w:rPr>
        <w:rFonts w:ascii="Wingdings" w:hAnsi="Wingdings" w:hint="default"/>
        <w:sz w:val="20"/>
      </w:rPr>
    </w:lvl>
    <w:lvl w:ilvl="3" w:tentative="1">
      <w:start w:val="1"/>
      <w:numFmt w:val="bullet"/>
      <w:lvlText w:val=""/>
      <w:lvlJc w:val="left"/>
      <w:pPr>
        <w:tabs>
          <w:tab w:val="num" w:pos="6660"/>
        </w:tabs>
        <w:ind w:left="6660" w:hanging="360"/>
      </w:pPr>
      <w:rPr>
        <w:rFonts w:ascii="Wingdings" w:hAnsi="Wingdings" w:hint="default"/>
        <w:sz w:val="20"/>
      </w:rPr>
    </w:lvl>
    <w:lvl w:ilvl="4" w:tentative="1">
      <w:start w:val="1"/>
      <w:numFmt w:val="bullet"/>
      <w:lvlText w:val=""/>
      <w:lvlJc w:val="left"/>
      <w:pPr>
        <w:tabs>
          <w:tab w:val="num" w:pos="7380"/>
        </w:tabs>
        <w:ind w:left="7380" w:hanging="360"/>
      </w:pPr>
      <w:rPr>
        <w:rFonts w:ascii="Wingdings" w:hAnsi="Wingdings" w:hint="default"/>
        <w:sz w:val="20"/>
      </w:rPr>
    </w:lvl>
    <w:lvl w:ilvl="5" w:tentative="1">
      <w:start w:val="1"/>
      <w:numFmt w:val="bullet"/>
      <w:lvlText w:val=""/>
      <w:lvlJc w:val="left"/>
      <w:pPr>
        <w:tabs>
          <w:tab w:val="num" w:pos="8100"/>
        </w:tabs>
        <w:ind w:left="8100" w:hanging="360"/>
      </w:pPr>
      <w:rPr>
        <w:rFonts w:ascii="Wingdings" w:hAnsi="Wingdings" w:hint="default"/>
        <w:sz w:val="20"/>
      </w:rPr>
    </w:lvl>
    <w:lvl w:ilvl="6" w:tentative="1">
      <w:start w:val="1"/>
      <w:numFmt w:val="bullet"/>
      <w:lvlText w:val=""/>
      <w:lvlJc w:val="left"/>
      <w:pPr>
        <w:tabs>
          <w:tab w:val="num" w:pos="8820"/>
        </w:tabs>
        <w:ind w:left="8820" w:hanging="360"/>
      </w:pPr>
      <w:rPr>
        <w:rFonts w:ascii="Wingdings" w:hAnsi="Wingdings" w:hint="default"/>
        <w:sz w:val="20"/>
      </w:rPr>
    </w:lvl>
    <w:lvl w:ilvl="7" w:tentative="1">
      <w:start w:val="1"/>
      <w:numFmt w:val="bullet"/>
      <w:lvlText w:val=""/>
      <w:lvlJc w:val="left"/>
      <w:pPr>
        <w:tabs>
          <w:tab w:val="num" w:pos="9540"/>
        </w:tabs>
        <w:ind w:left="9540" w:hanging="360"/>
      </w:pPr>
      <w:rPr>
        <w:rFonts w:ascii="Wingdings" w:hAnsi="Wingdings" w:hint="default"/>
        <w:sz w:val="20"/>
      </w:rPr>
    </w:lvl>
    <w:lvl w:ilvl="8" w:tentative="1">
      <w:start w:val="1"/>
      <w:numFmt w:val="bullet"/>
      <w:lvlText w:val=""/>
      <w:lvlJc w:val="left"/>
      <w:pPr>
        <w:tabs>
          <w:tab w:val="num" w:pos="10260"/>
        </w:tabs>
        <w:ind w:left="10260" w:hanging="360"/>
      </w:pPr>
      <w:rPr>
        <w:rFonts w:ascii="Wingdings" w:hAnsi="Wingdings" w:hint="default"/>
        <w:sz w:val="20"/>
      </w:rPr>
    </w:lvl>
  </w:abstractNum>
  <w:abstractNum w:abstractNumId="1" w15:restartNumberingAfterBreak="0">
    <w:nsid w:val="2D901CB0"/>
    <w:multiLevelType w:val="multilevel"/>
    <w:tmpl w:val="39A60C66"/>
    <w:lvl w:ilvl="0">
      <w:start w:val="1"/>
      <w:numFmt w:val="bullet"/>
      <w:lvlText w:val=""/>
      <w:lvlJc w:val="left"/>
      <w:pPr>
        <w:tabs>
          <w:tab w:val="num" w:pos="720"/>
        </w:tabs>
        <w:ind w:left="720" w:hanging="360"/>
      </w:pPr>
      <w:rPr>
        <w:rFonts w:ascii="Symbol" w:hAnsi="Symbol" w:hint="default"/>
        <w:sz w:val="20"/>
        <w:lang w:val="en-US"/>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2E7E8D"/>
    <w:multiLevelType w:val="multilevel"/>
    <w:tmpl w:val="75D6E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F36844"/>
    <w:multiLevelType w:val="multilevel"/>
    <w:tmpl w:val="9D40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AB49FD"/>
    <w:multiLevelType w:val="multilevel"/>
    <w:tmpl w:val="5E30B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5888263">
    <w:abstractNumId w:val="1"/>
  </w:num>
  <w:num w:numId="2" w16cid:durableId="1483698948">
    <w:abstractNumId w:val="2"/>
  </w:num>
  <w:num w:numId="3" w16cid:durableId="982347195">
    <w:abstractNumId w:val="4"/>
  </w:num>
  <w:num w:numId="4" w16cid:durableId="375468983">
    <w:abstractNumId w:val="0"/>
  </w:num>
  <w:num w:numId="5" w16cid:durableId="5929363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45"/>
    <w:rsid w:val="00074D45"/>
    <w:rsid w:val="000F4B21"/>
    <w:rsid w:val="001773E3"/>
    <w:rsid w:val="002C7807"/>
    <w:rsid w:val="0042737D"/>
    <w:rsid w:val="00543972"/>
    <w:rsid w:val="0055398D"/>
    <w:rsid w:val="0058644F"/>
    <w:rsid w:val="005A2E8C"/>
    <w:rsid w:val="005F233E"/>
    <w:rsid w:val="00781554"/>
    <w:rsid w:val="00921138"/>
    <w:rsid w:val="009F2D8E"/>
    <w:rsid w:val="00AC6F98"/>
    <w:rsid w:val="00AE15FD"/>
    <w:rsid w:val="00B04127"/>
    <w:rsid w:val="00B34A72"/>
    <w:rsid w:val="00B47536"/>
    <w:rsid w:val="00C32F1C"/>
    <w:rsid w:val="00C637E1"/>
    <w:rsid w:val="00CE0A2F"/>
    <w:rsid w:val="00CE3D30"/>
    <w:rsid w:val="00CF2177"/>
    <w:rsid w:val="00D102BC"/>
    <w:rsid w:val="00D95E0D"/>
    <w:rsid w:val="00E43323"/>
    <w:rsid w:val="00E62648"/>
  </w:rsids>
  <m:mathPr>
    <m:mathFont m:val="Cambria Math"/>
    <m:brkBin m:val="before"/>
    <m:brkBinSub m:val="--"/>
    <m:smallFrac m:val="0"/>
    <m:dispDef/>
    <m:lMargin m:val="0"/>
    <m:rMargin m:val="0"/>
    <m:defJc m:val="centerGroup"/>
    <m:wrapIndent m:val="1440"/>
    <m:intLim m:val="subSup"/>
    <m:naryLim m:val="undOvr"/>
  </m:mathPr>
  <w:themeFontLang w:val="fr-B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3BC7A"/>
  <w15:chartTrackingRefBased/>
  <w15:docId w15:val="{6E017B0E-E11B-4D89-B701-1F70D276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074D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74D45"/>
    <w:rPr>
      <w:rFonts w:ascii="Times New Roman" w:eastAsia="Times New Roman" w:hAnsi="Times New Roman" w:cs="Times New Roman"/>
      <w:b/>
      <w:bCs/>
      <w:sz w:val="27"/>
      <w:szCs w:val="27"/>
    </w:rPr>
  </w:style>
  <w:style w:type="character" w:styleId="lev">
    <w:name w:val="Strong"/>
    <w:basedOn w:val="Policepardfaut"/>
    <w:uiPriority w:val="22"/>
    <w:qFormat/>
    <w:rsid w:val="00074D45"/>
    <w:rPr>
      <w:b/>
      <w:bCs/>
    </w:rPr>
  </w:style>
  <w:style w:type="character" w:styleId="Lienhypertexte">
    <w:name w:val="Hyperlink"/>
    <w:basedOn w:val="Policepardfaut"/>
    <w:uiPriority w:val="99"/>
    <w:unhideWhenUsed/>
    <w:rsid w:val="0055398D"/>
    <w:rPr>
      <w:color w:val="0563C1" w:themeColor="hyperlink"/>
      <w:u w:val="single"/>
    </w:rPr>
  </w:style>
  <w:style w:type="character" w:styleId="Mentionnonrsolue">
    <w:name w:val="Unresolved Mention"/>
    <w:basedOn w:val="Policepardfaut"/>
    <w:uiPriority w:val="99"/>
    <w:semiHidden/>
    <w:unhideWhenUsed/>
    <w:rsid w:val="0055398D"/>
    <w:rPr>
      <w:color w:val="605E5C"/>
      <w:shd w:val="clear" w:color="auto" w:fill="E1DFDD"/>
    </w:rPr>
  </w:style>
  <w:style w:type="paragraph" w:styleId="Sansinterligne">
    <w:name w:val="No Spacing"/>
    <w:uiPriority w:val="1"/>
    <w:qFormat/>
    <w:rsid w:val="005539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277222">
      <w:bodyDiv w:val="1"/>
      <w:marLeft w:val="0"/>
      <w:marRight w:val="0"/>
      <w:marTop w:val="0"/>
      <w:marBottom w:val="0"/>
      <w:divBdr>
        <w:top w:val="none" w:sz="0" w:space="0" w:color="auto"/>
        <w:left w:val="none" w:sz="0" w:space="0" w:color="auto"/>
        <w:bottom w:val="none" w:sz="0" w:space="0" w:color="auto"/>
        <w:right w:val="none" w:sz="0" w:space="0" w:color="auto"/>
      </w:divBdr>
    </w:div>
    <w:div w:id="411971747">
      <w:bodyDiv w:val="1"/>
      <w:marLeft w:val="0"/>
      <w:marRight w:val="0"/>
      <w:marTop w:val="0"/>
      <w:marBottom w:val="0"/>
      <w:divBdr>
        <w:top w:val="none" w:sz="0" w:space="0" w:color="auto"/>
        <w:left w:val="none" w:sz="0" w:space="0" w:color="auto"/>
        <w:bottom w:val="none" w:sz="0" w:space="0" w:color="auto"/>
        <w:right w:val="none" w:sz="0" w:space="0" w:color="auto"/>
      </w:divBdr>
    </w:div>
    <w:div w:id="947472158">
      <w:bodyDiv w:val="1"/>
      <w:marLeft w:val="0"/>
      <w:marRight w:val="0"/>
      <w:marTop w:val="0"/>
      <w:marBottom w:val="0"/>
      <w:divBdr>
        <w:top w:val="none" w:sz="0" w:space="0" w:color="auto"/>
        <w:left w:val="none" w:sz="0" w:space="0" w:color="auto"/>
        <w:bottom w:val="none" w:sz="0" w:space="0" w:color="auto"/>
        <w:right w:val="none" w:sz="0" w:space="0" w:color="auto"/>
      </w:divBdr>
    </w:div>
    <w:div w:id="1071006874">
      <w:bodyDiv w:val="1"/>
      <w:marLeft w:val="0"/>
      <w:marRight w:val="0"/>
      <w:marTop w:val="0"/>
      <w:marBottom w:val="0"/>
      <w:divBdr>
        <w:top w:val="none" w:sz="0" w:space="0" w:color="auto"/>
        <w:left w:val="none" w:sz="0" w:space="0" w:color="auto"/>
        <w:bottom w:val="none" w:sz="0" w:space="0" w:color="auto"/>
        <w:right w:val="none" w:sz="0" w:space="0" w:color="auto"/>
      </w:divBdr>
      <w:divsChild>
        <w:div w:id="1164517800">
          <w:marLeft w:val="0"/>
          <w:marRight w:val="0"/>
          <w:marTop w:val="0"/>
          <w:marBottom w:val="0"/>
          <w:divBdr>
            <w:top w:val="none" w:sz="0" w:space="0" w:color="auto"/>
            <w:left w:val="none" w:sz="0" w:space="0" w:color="auto"/>
            <w:bottom w:val="none" w:sz="0" w:space="0" w:color="auto"/>
            <w:right w:val="none" w:sz="0" w:space="0" w:color="auto"/>
          </w:divBdr>
        </w:div>
        <w:div w:id="2125537108">
          <w:marLeft w:val="0"/>
          <w:marRight w:val="0"/>
          <w:marTop w:val="0"/>
          <w:marBottom w:val="0"/>
          <w:divBdr>
            <w:top w:val="none" w:sz="0" w:space="0" w:color="auto"/>
            <w:left w:val="none" w:sz="0" w:space="0" w:color="auto"/>
            <w:bottom w:val="none" w:sz="0" w:space="0" w:color="auto"/>
            <w:right w:val="none" w:sz="0" w:space="0" w:color="auto"/>
          </w:divBdr>
        </w:div>
        <w:div w:id="296447540">
          <w:marLeft w:val="0"/>
          <w:marRight w:val="0"/>
          <w:marTop w:val="0"/>
          <w:marBottom w:val="0"/>
          <w:divBdr>
            <w:top w:val="none" w:sz="0" w:space="0" w:color="auto"/>
            <w:left w:val="none" w:sz="0" w:space="0" w:color="auto"/>
            <w:bottom w:val="none" w:sz="0" w:space="0" w:color="auto"/>
            <w:right w:val="none" w:sz="0" w:space="0" w:color="auto"/>
          </w:divBdr>
        </w:div>
      </w:divsChild>
    </w:div>
    <w:div w:id="1463688959">
      <w:bodyDiv w:val="1"/>
      <w:marLeft w:val="0"/>
      <w:marRight w:val="0"/>
      <w:marTop w:val="0"/>
      <w:marBottom w:val="0"/>
      <w:divBdr>
        <w:top w:val="none" w:sz="0" w:space="0" w:color="auto"/>
        <w:left w:val="none" w:sz="0" w:space="0" w:color="auto"/>
        <w:bottom w:val="none" w:sz="0" w:space="0" w:color="auto"/>
        <w:right w:val="none" w:sz="0" w:space="0" w:color="auto"/>
      </w:divBdr>
    </w:div>
    <w:div w:id="1543707327">
      <w:bodyDiv w:val="1"/>
      <w:marLeft w:val="0"/>
      <w:marRight w:val="0"/>
      <w:marTop w:val="0"/>
      <w:marBottom w:val="0"/>
      <w:divBdr>
        <w:top w:val="none" w:sz="0" w:space="0" w:color="auto"/>
        <w:left w:val="none" w:sz="0" w:space="0" w:color="auto"/>
        <w:bottom w:val="none" w:sz="0" w:space="0" w:color="auto"/>
        <w:right w:val="none" w:sz="0" w:space="0" w:color="auto"/>
      </w:divBdr>
    </w:div>
    <w:div w:id="1799297308">
      <w:bodyDiv w:val="1"/>
      <w:marLeft w:val="0"/>
      <w:marRight w:val="0"/>
      <w:marTop w:val="0"/>
      <w:marBottom w:val="0"/>
      <w:divBdr>
        <w:top w:val="none" w:sz="0" w:space="0" w:color="auto"/>
        <w:left w:val="none" w:sz="0" w:space="0" w:color="auto"/>
        <w:bottom w:val="none" w:sz="0" w:space="0" w:color="auto"/>
        <w:right w:val="none" w:sz="0" w:space="0" w:color="auto"/>
      </w:divBdr>
    </w:div>
    <w:div w:id="2131629465">
      <w:bodyDiv w:val="1"/>
      <w:marLeft w:val="0"/>
      <w:marRight w:val="0"/>
      <w:marTop w:val="0"/>
      <w:marBottom w:val="0"/>
      <w:divBdr>
        <w:top w:val="none" w:sz="0" w:space="0" w:color="auto"/>
        <w:left w:val="none" w:sz="0" w:space="0" w:color="auto"/>
        <w:bottom w:val="none" w:sz="0" w:space="0" w:color="auto"/>
        <w:right w:val="none" w:sz="0" w:space="0" w:color="auto"/>
      </w:divBdr>
      <w:divsChild>
        <w:div w:id="690379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d.law" TargetMode="External"/><Relationship Id="rId3" Type="http://schemas.openxmlformats.org/officeDocument/2006/relationships/settings" Target="settings.xml"/><Relationship Id="rId7" Type="http://schemas.openxmlformats.org/officeDocument/2006/relationships/hyperlink" Target="http://www.c-d.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c-d.la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508</Words>
  <Characters>2796</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Chazkal</dc:creator>
  <cp:keywords/>
  <dc:description/>
  <cp:lastModifiedBy>Naila Amraoui</cp:lastModifiedBy>
  <cp:revision>2</cp:revision>
  <dcterms:created xsi:type="dcterms:W3CDTF">2024-04-11T12:47:00Z</dcterms:created>
  <dcterms:modified xsi:type="dcterms:W3CDTF">2024-04-11T12:47:00Z</dcterms:modified>
</cp:coreProperties>
</file>